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5D8138E" w:rsidR="009E1444" w:rsidRDefault="00D938F7" w:rsidP="009E1444">
      <w:r w:rsidRPr="00D938F7">
        <w:drawing>
          <wp:inline distT="0" distB="0" distL="0" distR="0" wp14:anchorId="77AB0119" wp14:editId="4B06903B">
            <wp:extent cx="8863330" cy="2996565"/>
            <wp:effectExtent l="0" t="0" r="0" b="0"/>
            <wp:docPr id="1033003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3DD26371" w:rsidR="009E1444" w:rsidRPr="00D938F7" w:rsidRDefault="009E1444" w:rsidP="0090628E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38F7">
        <w:rPr>
          <w:rFonts w:ascii="Arial" w:hAnsi="Arial" w:cs="Arial"/>
          <w:sz w:val="24"/>
          <w:szCs w:val="24"/>
        </w:rPr>
        <w:t>Protokolo išrašas: „</w:t>
      </w:r>
      <w:r w:rsidR="00D938F7" w:rsidRPr="00D938F7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D938F7" w:rsidRPr="00D938F7">
        <w:rPr>
          <w:rFonts w:ascii="Arial" w:hAnsi="Arial" w:cs="Arial"/>
          <w:sz w:val="24"/>
          <w:szCs w:val="24"/>
          <w:lang w:val="en-US"/>
        </w:rPr>
        <w:t>26</w:t>
      </w:r>
      <w:r w:rsidR="00D938F7" w:rsidRPr="00D938F7">
        <w:rPr>
          <w:rFonts w:ascii="Arial" w:hAnsi="Arial" w:cs="Arial"/>
          <w:sz w:val="24"/>
          <w:szCs w:val="24"/>
        </w:rPr>
        <w:t xml:space="preserve"> d. posėdyje 0 balsų “už“ iš 7 balsavusiųjų įvertinusi pretendento Vytauto Sabaliausko tinkamumą eiti apylinkės teismo teisėjo pareigas, skyrė jam 70,87 balų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D938F7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613ED"/>
    <w:rsid w:val="002F2955"/>
    <w:rsid w:val="002F3589"/>
    <w:rsid w:val="00316C69"/>
    <w:rsid w:val="00361570"/>
    <w:rsid w:val="00455C74"/>
    <w:rsid w:val="004B3E9E"/>
    <w:rsid w:val="004C2E69"/>
    <w:rsid w:val="004C79AD"/>
    <w:rsid w:val="006E3C61"/>
    <w:rsid w:val="007610A2"/>
    <w:rsid w:val="0090628E"/>
    <w:rsid w:val="00987FDF"/>
    <w:rsid w:val="009E1444"/>
    <w:rsid w:val="00A9257E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938F7"/>
    <w:rsid w:val="00DA68BC"/>
    <w:rsid w:val="00DC443E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2025-05-28T10:19:00Z</dcterms:modified>
</cp:coreProperties>
</file>