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AC39C" w14:textId="77777777" w:rsidR="00D105B9" w:rsidRPr="00A86AE0" w:rsidRDefault="00D105B9" w:rsidP="00D105B9">
      <w:pPr>
        <w:pStyle w:val="Pavadinimas"/>
        <w:rPr>
          <w:b/>
        </w:rPr>
      </w:pPr>
      <w:r w:rsidRPr="00A86AE0">
        <w:rPr>
          <w:b/>
        </w:rPr>
        <w:t>dėl Konsultacijos</w:t>
      </w:r>
    </w:p>
    <w:p w14:paraId="329F35C7" w14:textId="77777777" w:rsidR="00D105B9" w:rsidRPr="00A86AE0" w:rsidRDefault="00D105B9" w:rsidP="00D105B9">
      <w:pPr>
        <w:pStyle w:val="Pavadinimas"/>
        <w:rPr>
          <w:b/>
        </w:rPr>
      </w:pPr>
    </w:p>
    <w:p w14:paraId="20DEE1BF" w14:textId="07896C74" w:rsidR="00D105B9" w:rsidRPr="00A86AE0" w:rsidRDefault="00D105B9" w:rsidP="00D105B9">
      <w:pPr>
        <w:pStyle w:val="Tekstas"/>
        <w:spacing w:before="0" w:after="0"/>
        <w:ind w:right="0" w:firstLine="851"/>
        <w:rPr>
          <w:lang w:val="lt-LT"/>
        </w:rPr>
      </w:pPr>
      <w:r w:rsidRPr="00A86AE0">
        <w:rPr>
          <w:lang w:val="lt-LT"/>
        </w:rPr>
        <w:t>Vilniaus miesto apylinkės teismo teisėja I</w:t>
      </w:r>
      <w:r w:rsidR="00A86AE0" w:rsidRPr="00A86AE0">
        <w:rPr>
          <w:lang w:val="lt-LT"/>
        </w:rPr>
        <w:t>.</w:t>
      </w:r>
      <w:r w:rsidRPr="00A86AE0">
        <w:rPr>
          <w:lang w:val="lt-LT"/>
        </w:rPr>
        <w:t xml:space="preserve"> S</w:t>
      </w:r>
      <w:r w:rsidR="00A86AE0" w:rsidRPr="00A86AE0">
        <w:rPr>
          <w:lang w:val="lt-LT"/>
        </w:rPr>
        <w:t>.</w:t>
      </w:r>
      <w:r w:rsidRPr="00A86AE0">
        <w:rPr>
          <w:lang w:val="lt-LT"/>
        </w:rPr>
        <w:t xml:space="preserve"> kreipėsi į Teisėjų etikos ir drausmės komisiją (toliau – Komisija) prašydama suteikti konsultaciją, ar gali teisėjas verstis individualia veikla (verslo liudijimas ar autorinė sutartis) mokinant suaugusius ar vaikus italų kalbą (pedagoginė veikla).</w:t>
      </w:r>
    </w:p>
    <w:p w14:paraId="218716AF" w14:textId="77777777" w:rsidR="00D105B9" w:rsidRPr="00A86AE0" w:rsidRDefault="00D105B9" w:rsidP="00D105B9">
      <w:pPr>
        <w:pStyle w:val="Tekstas"/>
        <w:spacing w:before="0" w:after="0"/>
        <w:ind w:right="0" w:firstLine="851"/>
        <w:rPr>
          <w:lang w:val="lt-LT"/>
        </w:rPr>
      </w:pPr>
      <w:r w:rsidRPr="00A86AE0">
        <w:rPr>
          <w:lang w:val="lt-LT"/>
        </w:rPr>
        <w:t>Pagal Lietuvos Respublikos Konstitucijos (toliau – Konstitucija) 109 straipsnio 1 dalį teismų funkcija – vykdyti teisingumą. Konstitucijos 109 straipsnio 2 dalyje nustatyta, kad teisėjas ir teismai, vykdydami teisingumą, yra nepriklausomi. Konstitucinis teisėjo nepriklausomumo principas yra įtvirtintas ir Lietuvos Respublikos teismų įstatymo 3 straipsnyje.</w:t>
      </w:r>
    </w:p>
    <w:p w14:paraId="567DF730" w14:textId="77777777" w:rsidR="00D105B9" w:rsidRPr="00A86AE0" w:rsidRDefault="00D105B9" w:rsidP="00D105B9">
      <w:pPr>
        <w:pStyle w:val="Tekstas"/>
        <w:spacing w:before="0" w:after="0"/>
        <w:ind w:right="0" w:firstLine="851"/>
        <w:rPr>
          <w:lang w:val="lt-LT"/>
        </w:rPr>
      </w:pPr>
      <w:r w:rsidRPr="00A86AE0">
        <w:rPr>
          <w:lang w:val="lt-LT"/>
        </w:rPr>
        <w:t>Lietuvos Respublikos Konstitucinis Teismas 1999 m. gruodžio 21 d. nutarime pažymėjo, kad teisingumo vykdymas – teismų funkcija, lemianti šios valdžios vietą valstybės valdžios sistemoje ir teisėjų statusą. Konstitucinis Teismas 2006 m. lapkričio 27 d. nutarime pažymėjo, kad teisėjo elgesys – tiek susijęs su tiesioginiu pareigų atlikimu, tiek su jo veikla, kuri nėra susijusi su jo pareigomis, – neturi kelti abejonių dėl jo nešališkumo ir nepriklausomumo.</w:t>
      </w:r>
    </w:p>
    <w:p w14:paraId="3980CE72" w14:textId="77777777" w:rsidR="00D105B9" w:rsidRPr="00A86AE0" w:rsidRDefault="00D105B9" w:rsidP="00D105B9">
      <w:pPr>
        <w:pStyle w:val="Tekstas"/>
        <w:spacing w:before="0" w:after="0"/>
        <w:ind w:right="0" w:firstLine="851"/>
        <w:rPr>
          <w:lang w:val="lt-LT"/>
        </w:rPr>
      </w:pPr>
      <w:r w:rsidRPr="00A86AE0">
        <w:rPr>
          <w:lang w:val="lt-LT"/>
        </w:rPr>
        <w:t>Taigi teisėjų etiško elgesio vertinimo svarbiausiais kriterijais turėtų būti teisėjo nepriklausomumo ir nešališkumo principai.</w:t>
      </w:r>
    </w:p>
    <w:p w14:paraId="1D7CB55F" w14:textId="77777777" w:rsidR="00D105B9" w:rsidRPr="00A86AE0" w:rsidRDefault="00D105B9" w:rsidP="00D105B9">
      <w:pPr>
        <w:pStyle w:val="Tekstas"/>
        <w:spacing w:before="0" w:after="0"/>
        <w:ind w:right="0" w:firstLine="851"/>
        <w:rPr>
          <w:lang w:val="lt-LT"/>
        </w:rPr>
      </w:pPr>
      <w:r w:rsidRPr="00A86AE0">
        <w:rPr>
          <w:lang w:val="lt-LT"/>
        </w:rPr>
        <w:t>Europos Tarybos Ministrų Komiteto 2010 m. lapkričio 17 d. rekomendacijos Nr. (2010)12 „Dėl teisėjų: nepriklausomumas, veiksmingumas ir atsakomybė“ (toliau – Rekomendacija) II skyriuje yra apibrėžiamas teisėjo išorinis nepriklausomumas. Rekomendacijos II skyriaus 21 punkte nustatyta, kad teisėjai turi teisę užsiimti veikla, kuri nėra tarnybinių pareigų vykdymas; siekiant išvengti interesų konfliktų, ši veikla turėtų būti apribota iki veiksmų, kurie atitinka nešališkumą ir nepriklausomumą.</w:t>
      </w:r>
    </w:p>
    <w:p w14:paraId="5446BBB4" w14:textId="77777777" w:rsidR="00D105B9" w:rsidRPr="00A86AE0" w:rsidRDefault="00D105B9" w:rsidP="00D105B9">
      <w:pPr>
        <w:pStyle w:val="Tekstas"/>
        <w:spacing w:before="0" w:after="0"/>
        <w:ind w:right="0" w:firstLine="851"/>
        <w:rPr>
          <w:lang w:val="lt-LT"/>
        </w:rPr>
      </w:pPr>
      <w:r w:rsidRPr="00A86AE0">
        <w:rPr>
          <w:lang w:val="lt-LT"/>
        </w:rPr>
        <w:t>Konstitucijos 113 straipsnio 1 dalyje</w:t>
      </w:r>
      <w:r w:rsidRPr="00A86AE0">
        <w:rPr>
          <w:color w:val="000000"/>
          <w:shd w:val="clear" w:color="auto" w:fill="FFFFFF"/>
          <w:lang w:val="lt-LT"/>
        </w:rPr>
        <w:t xml:space="preserve"> imperatyviai</w:t>
      </w:r>
      <w:r w:rsidRPr="00A86AE0">
        <w:rPr>
          <w:lang w:val="lt-LT"/>
        </w:rPr>
        <w:t xml:space="preserve"> nustatyta, kad teisėjas negali užimti jokių kitų renkamų ar skiriamų pareigų, dirbti verslo, komercijos ar kitokiose privačiose įstaigose ar įmonėse.</w:t>
      </w:r>
      <w:r w:rsidRPr="00A86AE0">
        <w:rPr>
          <w:color w:val="000000"/>
          <w:lang w:val="lt-LT"/>
        </w:rPr>
        <w:t xml:space="preserve"> Jis taip pat negali gauti jokio kito atlyginimo, išskyrus teisėjo atlyginimą bei užmokestį už pedagoginę ar kūrybinę veiklą.</w:t>
      </w:r>
      <w:r w:rsidRPr="00A86AE0">
        <w:rPr>
          <w:lang w:val="lt-LT"/>
        </w:rPr>
        <w:t xml:space="preserve"> </w:t>
      </w:r>
    </w:p>
    <w:p w14:paraId="389BB917" w14:textId="77777777" w:rsidR="00D105B9" w:rsidRPr="00A86AE0" w:rsidRDefault="00D105B9" w:rsidP="00D105B9">
      <w:pPr>
        <w:pStyle w:val="Tekstas"/>
        <w:spacing w:before="0" w:after="0"/>
        <w:ind w:right="0" w:firstLine="851"/>
        <w:rPr>
          <w:lang w:val="lt-LT" w:eastAsia="lt-LT"/>
        </w:rPr>
      </w:pPr>
      <w:r w:rsidRPr="00A86AE0">
        <w:rPr>
          <w:lang w:val="lt-LT"/>
        </w:rPr>
        <w:t>Teismų įstatymo 48 straipsni</w:t>
      </w:r>
      <w:bookmarkStart w:id="0" w:name="part_3d395a2d07c8486587905e906cc3803f"/>
      <w:bookmarkEnd w:id="0"/>
      <w:r w:rsidRPr="00A86AE0">
        <w:rPr>
          <w:lang w:val="lt-LT"/>
        </w:rPr>
        <w:t xml:space="preserve">o 1 dalyje taip pat įtvirtinta, kad </w:t>
      </w:r>
      <w:r w:rsidRPr="00A86AE0">
        <w:rPr>
          <w:lang w:val="lt-LT" w:eastAsia="lt-LT"/>
        </w:rPr>
        <w:t xml:space="preserve"> teisėjas negali eiti kitų renkamų ar skiriamų pareigų, dirbti verslo ar kitokiose privačiose įstaigose ar įmonėse, išskyrus pedagoginę ar kūrybinę veiklą</w:t>
      </w:r>
      <w:bookmarkStart w:id="1" w:name="part_cd3cb543c73743bc98c6484c0770d913"/>
      <w:bookmarkStart w:id="2" w:name="part_6051a96b517e4a48bde6688f65afc979"/>
      <w:bookmarkEnd w:id="1"/>
      <w:bookmarkEnd w:id="2"/>
      <w:r w:rsidRPr="00A86AE0">
        <w:rPr>
          <w:lang w:val="lt-LT" w:eastAsia="lt-LT"/>
        </w:rPr>
        <w:t>. Šio straipsnio 3 dalyje nurodoma, kad teisėjas gali dalyvauti įstatymų, tarptautinių sutarčių, taip pat kitų teisės aktų projektų rengimo komisijose (grupėse), dalyvauti Europos Sąjungos, tarptautinių organizacijų, užsienio valstybių finansuojamuose paramos teikimo arba Lietuvos vystomojo bendradarbiavimo ir paramos demokratijai projektuose, susijusiuose su teisingumo sistemos ir teismų veiklos tobulinimu, jei tai netrukdo atlikti teisėjo pareigas ir yra suderinama su teisėjo nepriklausomumu ir nešališkumu. Teisės aktų nustatyta tvarka teisėjas gali atstovauti Lietuvos valstybei tarptautinėse organizacijose. Lietuvos Respublikos tarptautinių sutarčių numatytais atvejais teisėjas gali eiti ne visą darbo laiką dirbančio tarptautinio teismo teisėjo pareigas.</w:t>
      </w:r>
    </w:p>
    <w:p w14:paraId="491872E2" w14:textId="77777777" w:rsidR="00D105B9" w:rsidRPr="00A86AE0" w:rsidRDefault="00D105B9" w:rsidP="00D105B9">
      <w:pPr>
        <w:pStyle w:val="Tekstas"/>
        <w:spacing w:before="0" w:after="0"/>
        <w:ind w:right="0" w:firstLine="851"/>
        <w:rPr>
          <w:lang w:val="lt-LT"/>
        </w:rPr>
      </w:pPr>
      <w:r w:rsidRPr="00A86AE0">
        <w:rPr>
          <w:lang w:val="lt-LT"/>
        </w:rPr>
        <w:t>Lietuvos Respublikos teisėjų etikos kodekso (toliau – ir Teisėjų etikos kodeksas) 9 straipsnis, apibrėždamas nepriklausomumo principą etiško teisėjo elgesio požiūriu, be kita ko, nustato, kad teisėjas neturėtų prisiimti įsipareigojimų ar imtis veiklos, kuri trukdys tinkamai atlikti teisėjo pareigas ar apribos jo, kaip teisėjo veiksmus. Teisėjų etikos kodekso 12 straipsnis, įtvirtinantis sąžiningumo ir nesavanaudiškumo principus, be kita ko, nustato, kad teisėjas turėtų elgtis taip, kad šeimos, visuomeniniai, socialiniai ir kitokie santykiai nekenktų teisėjo tiesioginių pareigų atlikimui, teisėjas neturėtų naudotis teismo turtu ir teikiamomis galimybėmis ne tarnybinei veiklai bei vengti valstybės turto ir lėšų nekompetentingo naudojimo; vykdydamas tarnybines funkcijas, teisėjas neturėtų dalyvauti finansinėje ar komercinėje veikloje, naudojantis savo pareigomis.</w:t>
      </w:r>
    </w:p>
    <w:p w14:paraId="49FC2589" w14:textId="3C6017A8" w:rsidR="00D105B9" w:rsidRPr="00A86AE0" w:rsidRDefault="00D105B9" w:rsidP="00D105B9">
      <w:pPr>
        <w:pStyle w:val="Tekstas"/>
        <w:spacing w:before="0" w:after="0"/>
        <w:ind w:right="0" w:firstLine="851"/>
        <w:rPr>
          <w:lang w:val="lt-LT"/>
        </w:rPr>
      </w:pPr>
      <w:proofErr w:type="spellStart"/>
      <w:r w:rsidRPr="00A86AE0">
        <w:rPr>
          <w:lang w:val="lt-LT"/>
        </w:rPr>
        <w:t>Bangaloro</w:t>
      </w:r>
      <w:proofErr w:type="spellEnd"/>
      <w:r w:rsidRPr="00A86AE0">
        <w:rPr>
          <w:lang w:val="lt-LT"/>
        </w:rPr>
        <w:t xml:space="preserve"> teisėjų elgesio principai įtvirtina nešališkumo principą ir nustato, kad nešališkumas yra labai svarbus tinkamam teisėjo pareigų vykdymui. Teisėjas savo elgesiu teisme ir už jo ribų turi išsaugoti ir sustiprinti visuomenės, teisės profesijos atstovų ir bylos šalių pasitikėjimą teisėjo ir teismo nešališkumu </w:t>
      </w:r>
      <w:r w:rsidRPr="00A86AE0">
        <w:rPr>
          <w:lang w:val="lt-LT"/>
        </w:rPr>
        <w:lastRenderedPageBreak/>
        <w:t xml:space="preserve">(2.1 p); teisėjas turi elgtis taip, kad sumažintų atvejų, kai jį reikia nušalinti nuo bylos nagrinėjimo arba sprendimo priėmimo, skaičių (2. 3 p). </w:t>
      </w:r>
      <w:proofErr w:type="spellStart"/>
      <w:r w:rsidRPr="00A86AE0">
        <w:rPr>
          <w:lang w:val="lt-LT"/>
        </w:rPr>
        <w:t>Bangaloro</w:t>
      </w:r>
      <w:proofErr w:type="spellEnd"/>
      <w:r w:rsidRPr="00A86AE0">
        <w:rPr>
          <w:lang w:val="lt-LT"/>
        </w:rPr>
        <w:t xml:space="preserve"> teisėjų elgesio principai teisingumo principo kontekste nustato veiklos, kuria teisėjas gali užsiimti, pobūdį. Teisėjas gali rašyti, skaityti paskaitas, mokyti ir dalyvauti su teise, teisine sistema, teisingumo įgyvendinimu arba kitais klausimais susijusioje veikloje (4.11.1 p); dalyvauti valstybės institucijos vykdomame viešame svarstyme dėl klausimų, susijusių su teise, teisine sistema, teisingumo įgyvendinimu ir pan. (4.11.2 p); būti valstybės institucijos arba kitos vyriausybės komisijos, komiteto ar patariamosios institucijos narys, jeigu ši narystė neprieštarauja teisėjo nešališkumui ir politiniam neutralumui 4.11.3 p); teisėjas gali dalyvauti kitoje veikloje, jeigu ši veikla nesumenkina teisėjo pareigų orumo arba kitais būdais netrukdo teisėjo pareigų vykdymui (4.11. 4 p).</w:t>
      </w:r>
    </w:p>
    <w:p w14:paraId="6938E603" w14:textId="77777777" w:rsidR="00D105B9" w:rsidRPr="00A86AE0" w:rsidRDefault="00D105B9" w:rsidP="00D105B9">
      <w:pPr>
        <w:pStyle w:val="Tekstas"/>
        <w:spacing w:before="0" w:after="0"/>
        <w:ind w:right="0" w:firstLine="851"/>
        <w:rPr>
          <w:lang w:val="lt-LT"/>
        </w:rPr>
      </w:pPr>
      <w:r w:rsidRPr="00A86AE0">
        <w:rPr>
          <w:lang w:val="lt-LT"/>
        </w:rPr>
        <w:t xml:space="preserve">Kaip jau minėta, </w:t>
      </w:r>
      <w:r w:rsidRPr="00A86AE0">
        <w:rPr>
          <w:color w:val="000000"/>
          <w:shd w:val="clear" w:color="auto" w:fill="FFFFFF"/>
          <w:lang w:val="lt-LT"/>
        </w:rPr>
        <w:t xml:space="preserve">Konstitucija teisėjui nedraudžia, be pagrindinės veiklos – teisingumo vykdymo, </w:t>
      </w:r>
      <w:r w:rsidRPr="00A86AE0">
        <w:rPr>
          <w:lang w:val="lt-LT"/>
        </w:rPr>
        <w:t>užsiimti ir kitokia veikla, kuri būtų pedagoginė ar kūrybinė, ir teisėjas už ją galėtų gauti atitinkamą užmokestį. Konstitucinis Teismas 2016 m. gegužės 16 d. sprendime Nr. KT16-S9/2016 („Dėl Lietuvos Respublikos Konstitucinio Teismo 2001 m. liepos 12 d., 2004 m. liepos 1 d. nutarimų nuostatų išaiškinimo“) pažymėjo, kad pedagoginė veikla siejama su dėstymu, mokymu, ugdymu mokymo, auklėjimo įstaigose (įskaitant aukštąsias mokyklas), tuo tarpu kūrybinė veikla yra veikla, kuria siekiama sukurti mokslo, technikos, kultūros ar meno kūrinį. Už kūrybinę veiklą autoriui gali būti sumokėtas atlyginimas, kurį, visuotinai įprasta, reguliuoja autorių teisės normos.</w:t>
      </w:r>
    </w:p>
    <w:p w14:paraId="46DCFAD9" w14:textId="77777777" w:rsidR="00D105B9" w:rsidRPr="00A86AE0" w:rsidRDefault="00D105B9" w:rsidP="00D105B9">
      <w:pPr>
        <w:pStyle w:val="Tekstas"/>
        <w:spacing w:before="0" w:after="0"/>
        <w:ind w:right="0" w:firstLine="851"/>
        <w:rPr>
          <w:lang w:val="lt-LT"/>
        </w:rPr>
      </w:pPr>
      <w:r w:rsidRPr="00A86AE0">
        <w:rPr>
          <w:lang w:val="lt-LT"/>
        </w:rPr>
        <w:t xml:space="preserve">Atkreiptinas dėmesys, kad Teisėjų taryba, siekdama išsaugoti visuomenės pasitikėjimą teismais, teisėjų konstitucinę teisę užsiimti pedagogine ir kūrybine veikla, </w:t>
      </w:r>
      <w:r w:rsidRPr="00A86AE0">
        <w:rPr>
          <w:shd w:val="clear" w:color="auto" w:fill="FFFFFF"/>
          <w:lang w:val="lt-LT"/>
        </w:rPr>
        <w:t>subalansuoti teisėjo užimtumą kitoje veikloje su konstituciniu teismo nepriklausomumo ir kitais konstituciniais principais bei normomis, apriboti</w:t>
      </w:r>
      <w:r w:rsidRPr="00A86AE0">
        <w:rPr>
          <w:lang w:val="lt-LT"/>
        </w:rPr>
        <w:t xml:space="preserve"> interesų konflikto atsiradimo riziką teismams vykdant teisingumą, 2021 m. vasario 26 d. protokoliniu nutarimu patvirtino Rekomendacijas ,,Dėl teisėjų vykdomos pedagoginės ir kūrybinės veiklos“. Iš Rekomendacijų turinio matyti, kad teisėjai, vykdantys pedagoginę ir kūrybinę veiklą turi teisę rašyti, skaityti paskaitas, mokyti ir dalyvauti svarstant su teise, teisine sistema, teisingumo įgyvendinimu susijusius klausimus, dalyvauti tarptautinių organizacijų, užsienio valstybių finansuojamuose paramos teikimo arba Lietuvos vystomojo bendradarbiavimo ir paramos demokratijai programos projektuose, susijusiuose su teisingumo sistemos ir teismų veiklos tobulinimu.</w:t>
      </w:r>
    </w:p>
    <w:p w14:paraId="2690370B" w14:textId="77777777" w:rsidR="00D105B9" w:rsidRPr="00A86AE0" w:rsidRDefault="00D105B9" w:rsidP="00D105B9">
      <w:pPr>
        <w:pStyle w:val="Tekstas"/>
        <w:spacing w:before="0" w:after="0"/>
        <w:ind w:right="0" w:firstLine="851"/>
        <w:rPr>
          <w:lang w:val="lt-LT"/>
        </w:rPr>
      </w:pPr>
      <w:r w:rsidRPr="00A86AE0">
        <w:rPr>
          <w:lang w:val="lt-LT"/>
        </w:rPr>
        <w:t>Remiantis minėtomis nuostatomis Komisija konstatuoja, kad teisėjo galima veikla ne teisme yra siejama pirmiausiai su teisinio pobūdžio veikla. Teismas vykdo teisingumą, todėl teisėjo papildoma veikla pirmiausiai vertintina kaip tokia, kuri gali padėti teisėjui geriau vykdyti jo tiesiogines pareigas, kelti profesinę kvalifikaciją, prisidėti prie visuomenės pasitikėjimo teismų sistema saugojimo ir didinimo (pvz., vykdyti teisinį švietimą). Teisėjo galima veikla ne teisme tai yra ne tik tokia, kuri gali padėti pasiekti minėtus tikslus dėl tinkamo teisėjo tiesioginių pareigų vykdymo, teismo autoriteto didinimo, bet kartu tai yra tokia veikla, kuri neturėtų trukdyti teisėjo tiesioginių pareigų vykdymui, t. y. teisėjo papildomos veiklos vykdymas neturėtų sudaryti prielaidų pažeisti pagrindinius principus, kuriais privalo vadovautis teisėjas, vykdydamas teisingumą.</w:t>
      </w:r>
    </w:p>
    <w:p w14:paraId="059C5D2B" w14:textId="77777777" w:rsidR="00D105B9" w:rsidRPr="00A86AE0" w:rsidRDefault="00D105B9" w:rsidP="00D105B9">
      <w:pPr>
        <w:pStyle w:val="Tekstas"/>
        <w:spacing w:before="0" w:after="0"/>
        <w:ind w:right="0" w:firstLine="851"/>
        <w:rPr>
          <w:lang w:val="lt-LT"/>
        </w:rPr>
      </w:pPr>
      <w:r w:rsidRPr="00A86AE0">
        <w:rPr>
          <w:lang w:val="lt-LT"/>
        </w:rPr>
        <w:t xml:space="preserve">Komisijos vertinimu, teisėjos paklausime nurodyta veikla, o būtent suaugusių ar vaikų mokymas italų kalbos, pagal savo pobūdį nesumenkina teisėjo pareigų orumo. Ši veikla, kaip užklausime nurodo teisėja, yra pedagoginio pobūdžio, už atlygį vykdytina veikla. Taigi ši veikla nėra teisinio pobūdžio, ji neturi nieko bendra su teise, teisine sistema, teisingumo įgyvendinimu susijusiais klausimais, ar teismo, kaip įstaigos, vykdančios teisingumą, darbu. Tuo tarpu, kaip minėta, ir </w:t>
      </w:r>
      <w:proofErr w:type="spellStart"/>
      <w:r w:rsidRPr="00A86AE0">
        <w:rPr>
          <w:lang w:val="lt-LT"/>
        </w:rPr>
        <w:t>Bangaloro</w:t>
      </w:r>
      <w:proofErr w:type="spellEnd"/>
      <w:r w:rsidRPr="00A86AE0">
        <w:rPr>
          <w:lang w:val="lt-LT"/>
        </w:rPr>
        <w:t xml:space="preserve"> teisėjų elgesio principai, kuriais savo praktikoje vadovaujasi Komisija, ir Teisėjų tarybos rekomendacijos ,,Dėl teisėjų vykdomos pedagoginės ir kūrybinės veiklos“ numato, kad teisėjai, vykdantys pedagoginę ir kūrybinę veiklą turi teisę rašyti, skaityti paskaitas, mokyti ir dalyvauti </w:t>
      </w:r>
      <w:r w:rsidRPr="00A86AE0">
        <w:rPr>
          <w:i/>
          <w:iCs/>
          <w:lang w:val="lt-LT"/>
        </w:rPr>
        <w:t>svarstant su teise, teisine sistema, teisingumo įgyvendinimu susijusiais klausimais.</w:t>
      </w:r>
    </w:p>
    <w:p w14:paraId="5AAEE8A0" w14:textId="77777777" w:rsidR="00D105B9" w:rsidRPr="00A86AE0" w:rsidRDefault="00D105B9" w:rsidP="00D105B9">
      <w:pPr>
        <w:pStyle w:val="Tekstas"/>
        <w:spacing w:before="0" w:after="0"/>
        <w:ind w:right="0" w:firstLine="851"/>
        <w:rPr>
          <w:lang w:val="lt-LT"/>
        </w:rPr>
      </w:pPr>
      <w:r w:rsidRPr="00A86AE0">
        <w:rPr>
          <w:lang w:val="lt-LT"/>
        </w:rPr>
        <w:t xml:space="preserve">Komisija pažymi, kad pateikta nuomonė dėl konkretaus teisėjo užklausimo </w:t>
      </w:r>
      <w:r w:rsidRPr="00A86AE0">
        <w:rPr>
          <w:bCs/>
          <w:lang w:val="lt-LT"/>
        </w:rPr>
        <w:t>nėra privalomojo pobūdžio, teisėjai turi</w:t>
      </w:r>
      <w:r w:rsidRPr="00A86AE0">
        <w:rPr>
          <w:b/>
          <w:lang w:val="lt-LT"/>
        </w:rPr>
        <w:t xml:space="preserve"> </w:t>
      </w:r>
      <w:r w:rsidRPr="00A86AE0">
        <w:rPr>
          <w:lang w:val="lt-LT"/>
        </w:rPr>
        <w:t>teisę vertinti ją kritiškai ir priimti individualų sprendimą vadovaudamiesi aukščiau nurodytomis nuostatomis, įvertinus visas reikšmingas aplinkybes kiekvienu konkrečiu atveju.</w:t>
      </w:r>
    </w:p>
    <w:p w14:paraId="031F3033" w14:textId="77777777" w:rsidR="00D105B9" w:rsidRPr="00A86AE0" w:rsidRDefault="00D105B9" w:rsidP="00D105B9">
      <w:pPr>
        <w:tabs>
          <w:tab w:val="left" w:pos="709"/>
          <w:tab w:val="left" w:pos="851"/>
        </w:tabs>
        <w:jc w:val="both"/>
      </w:pPr>
    </w:p>
    <w:p w14:paraId="5E88C17C" w14:textId="77777777" w:rsidR="00D105B9" w:rsidRPr="00A86AE0" w:rsidRDefault="00D105B9" w:rsidP="00D105B9">
      <w:pPr>
        <w:tabs>
          <w:tab w:val="left" w:pos="1200"/>
        </w:tabs>
        <w:jc w:val="both"/>
      </w:pPr>
      <w:r w:rsidRPr="00A86AE0">
        <w:t xml:space="preserve">Pirmininkė </w:t>
      </w:r>
      <w:r w:rsidRPr="00A86AE0">
        <w:tab/>
      </w:r>
      <w:r w:rsidRPr="00A86AE0">
        <w:tab/>
      </w:r>
      <w:r w:rsidRPr="00A86AE0">
        <w:tab/>
      </w:r>
      <w:r w:rsidRPr="00A86AE0">
        <w:tab/>
      </w:r>
      <w:r w:rsidRPr="00A86AE0">
        <w:tab/>
      </w:r>
      <w:r w:rsidRPr="00A86AE0">
        <w:tab/>
        <w:t xml:space="preserve">                                                                   Sigita Jokimaitė</w:t>
      </w:r>
    </w:p>
    <w:p w14:paraId="3F738B4A" w14:textId="77777777" w:rsidR="00D105B9" w:rsidRPr="00A86AE0" w:rsidRDefault="00D105B9" w:rsidP="00D105B9">
      <w:pPr>
        <w:jc w:val="both"/>
      </w:pPr>
    </w:p>
    <w:p w14:paraId="4EB36D2C" w14:textId="77777777" w:rsidR="00D105B9" w:rsidRPr="00A86AE0" w:rsidRDefault="00D105B9" w:rsidP="00D105B9">
      <w:pPr>
        <w:jc w:val="both"/>
      </w:pPr>
    </w:p>
    <w:p w14:paraId="5B8E9A9F" w14:textId="77777777" w:rsidR="00D105B9" w:rsidRPr="00A86AE0" w:rsidRDefault="00D105B9" w:rsidP="00D105B9">
      <w:pPr>
        <w:jc w:val="both"/>
      </w:pPr>
    </w:p>
    <w:p w14:paraId="452F8FF2" w14:textId="5F986EA8" w:rsidR="0089475D" w:rsidRPr="00D105B9" w:rsidRDefault="00D105B9" w:rsidP="00A86AE0">
      <w:pPr>
        <w:jc w:val="both"/>
      </w:pPr>
      <w:r w:rsidRPr="00A86AE0">
        <w:t xml:space="preserve">Olga Baltrėnė, tel. (8 5) 251 4186, el. p. </w:t>
      </w:r>
      <w:hyperlink r:id="rId6" w:history="1">
        <w:r w:rsidRPr="00A86AE0">
          <w:rPr>
            <w:rStyle w:val="Hipersaitas"/>
            <w:color w:val="auto"/>
            <w:u w:val="none"/>
          </w:rPr>
          <w:t>olga.baltrene@teismai.lt</w:t>
        </w:r>
      </w:hyperlink>
    </w:p>
    <w:sectPr w:rsidR="0089475D" w:rsidRPr="00D105B9" w:rsidSect="00D105B9">
      <w:headerReference w:type="default" r:id="rId7"/>
      <w:headerReference w:type="first" r:id="rId8"/>
      <w:footerReference w:type="first" r:id="rId9"/>
      <w:pgSz w:w="11907" w:h="16840" w:code="9"/>
      <w:pgMar w:top="709" w:right="567" w:bottom="567" w:left="1134"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265E9" w14:textId="77777777" w:rsidR="0063586C" w:rsidRDefault="0063586C">
      <w:r>
        <w:separator/>
      </w:r>
    </w:p>
  </w:endnote>
  <w:endnote w:type="continuationSeparator" w:id="0">
    <w:p w14:paraId="10421B91" w14:textId="77777777" w:rsidR="0063586C" w:rsidRDefault="00635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B8A50" w14:textId="77777777" w:rsidR="00824A46" w:rsidRDefault="00000000" w:rsidP="001539A4">
    <w:pPr>
      <w:pStyle w:val="Porat"/>
      <w:jc w:val="left"/>
    </w:pPr>
    <w:r>
      <w:rPr>
        <w:sz w:val="22"/>
        <w:szCs w:val="22"/>
      </w:rPr>
      <w:tab/>
    </w:r>
  </w:p>
  <w:p w14:paraId="12B5C128" w14:textId="77777777" w:rsidR="00824A46" w:rsidRPr="001539A4" w:rsidRDefault="00824A46" w:rsidP="001539A4">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6489D" w14:textId="77777777" w:rsidR="0063586C" w:rsidRDefault="0063586C">
      <w:r>
        <w:separator/>
      </w:r>
    </w:p>
  </w:footnote>
  <w:footnote w:type="continuationSeparator" w:id="0">
    <w:p w14:paraId="1AAE7942" w14:textId="77777777" w:rsidR="0063586C" w:rsidRDefault="00635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A2A48" w14:textId="77777777" w:rsidR="00824A46" w:rsidRDefault="00000000">
    <w:pPr>
      <w:pStyle w:val="Antrats"/>
      <w:tabs>
        <w:tab w:val="clear" w:pos="4153"/>
        <w:tab w:val="clear" w:pos="8306"/>
      </w:tabs>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3</w:t>
    </w:r>
    <w:r>
      <w:rPr>
        <w:rStyle w:val="Puslapionumeris"/>
      </w:rPr>
      <w:fldChar w:fldCharType="end"/>
    </w:r>
  </w:p>
  <w:p w14:paraId="4644F6DB" w14:textId="77777777" w:rsidR="00824A46" w:rsidRDefault="00824A46">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E767C" w14:textId="7C6ADA2B" w:rsidR="00824A46" w:rsidRDefault="00EE68D3">
    <w:pPr>
      <w:pStyle w:val="Antrats"/>
      <w:tabs>
        <w:tab w:val="clear" w:pos="4153"/>
      </w:tabs>
      <w:jc w:val="center"/>
      <w:rPr>
        <w:sz w:val="20"/>
      </w:rPr>
    </w:pPr>
    <w:r>
      <w:rPr>
        <w:noProof/>
        <w:sz w:val="20"/>
      </w:rPr>
      <w:drawing>
        <wp:inline distT="0" distB="0" distL="0" distR="0" wp14:anchorId="2728E0F0" wp14:editId="31F0C2B8">
          <wp:extent cx="733425" cy="762000"/>
          <wp:effectExtent l="0" t="0" r="9525" b="0"/>
          <wp:docPr id="167424568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4746F33" w14:textId="77777777" w:rsidR="00824A46" w:rsidRDefault="00000000">
    <w:pPr>
      <w:pStyle w:val="Antrats"/>
      <w:pBdr>
        <w:bottom w:val="single" w:sz="4" w:space="1" w:color="auto"/>
      </w:pBdr>
      <w:tabs>
        <w:tab w:val="clear" w:pos="4153"/>
        <w:tab w:val="clear" w:pos="8306"/>
      </w:tabs>
      <w:jc w:val="center"/>
      <w:rPr>
        <w:b/>
        <w:caps/>
        <w:sz w:val="28"/>
        <w:szCs w:val="28"/>
      </w:rPr>
    </w:pPr>
    <w:r w:rsidRPr="007568AB">
      <w:rPr>
        <w:b/>
        <w:caps/>
        <w:sz w:val="28"/>
        <w:szCs w:val="28"/>
      </w:rPr>
      <w:t>Teisėjų etikos ir drausmės komisija</w:t>
    </w:r>
  </w:p>
  <w:p w14:paraId="31DAF6E8" w14:textId="77777777" w:rsidR="00824A46" w:rsidRDefault="00000000">
    <w:pPr>
      <w:pStyle w:val="Antrats"/>
      <w:pBdr>
        <w:bottom w:val="single" w:sz="4" w:space="1" w:color="auto"/>
      </w:pBdr>
      <w:tabs>
        <w:tab w:val="clear" w:pos="4153"/>
        <w:tab w:val="clear" w:pos="8306"/>
      </w:tabs>
      <w:jc w:val="center"/>
      <w:rPr>
        <w:sz w:val="20"/>
      </w:rPr>
    </w:pPr>
    <w:r>
      <w:rPr>
        <w:sz w:val="20"/>
      </w:rPr>
      <w:t>L. Sapiegos g. 15, LT-10312 Vilnius,   tel. (8 5) 268 5186.   faks. (8 5) 268 5187</w:t>
    </w:r>
  </w:p>
  <w:p w14:paraId="383EF407" w14:textId="77777777" w:rsidR="00824A46" w:rsidRDefault="00824A46">
    <w:pPr>
      <w:pStyle w:val="Antrats"/>
      <w:pBdr>
        <w:bottom w:val="single" w:sz="4" w:space="1" w:color="auto"/>
      </w:pBdr>
      <w:tabs>
        <w:tab w:val="clear" w:pos="4153"/>
        <w:tab w:val="clear" w:pos="8306"/>
      </w:tabs>
      <w:jc w:val="center"/>
      <w:rPr>
        <w:b/>
        <w:sz w:val="8"/>
      </w:rPr>
    </w:pPr>
  </w:p>
  <w:p w14:paraId="622490E6" w14:textId="77777777" w:rsidR="00824A46" w:rsidRDefault="00824A46">
    <w:pPr>
      <w:pStyle w:val="Antrats"/>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BF"/>
    <w:rsid w:val="00205B19"/>
    <w:rsid w:val="00425316"/>
    <w:rsid w:val="0063586C"/>
    <w:rsid w:val="007B40A0"/>
    <w:rsid w:val="00824A46"/>
    <w:rsid w:val="008878F5"/>
    <w:rsid w:val="0089475D"/>
    <w:rsid w:val="00A86AE0"/>
    <w:rsid w:val="00B166BF"/>
    <w:rsid w:val="00D105B9"/>
    <w:rsid w:val="00D3189F"/>
    <w:rsid w:val="00EE68D3"/>
    <w:rsid w:val="00F62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0EF1"/>
  <w15:chartTrackingRefBased/>
  <w15:docId w15:val="{F4F351A6-CE34-47F7-8345-88B27471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68D3"/>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E68D3"/>
    <w:pPr>
      <w:tabs>
        <w:tab w:val="center" w:pos="4153"/>
        <w:tab w:val="right" w:pos="8306"/>
      </w:tabs>
    </w:pPr>
  </w:style>
  <w:style w:type="character" w:customStyle="1" w:styleId="AntratsDiagrama">
    <w:name w:val="Antraštės Diagrama"/>
    <w:basedOn w:val="Numatytasispastraiposriftas"/>
    <w:link w:val="Antrats"/>
    <w:rsid w:val="00EE68D3"/>
    <w:rPr>
      <w:rFonts w:ascii="Times New Roman" w:eastAsia="Times New Roman" w:hAnsi="Times New Roman" w:cs="Times New Roman"/>
      <w:kern w:val="0"/>
      <w:sz w:val="24"/>
      <w:szCs w:val="24"/>
      <w:lang w:val="lt-LT"/>
      <w14:ligatures w14:val="none"/>
    </w:rPr>
  </w:style>
  <w:style w:type="paragraph" w:styleId="Porat">
    <w:name w:val="footer"/>
    <w:basedOn w:val="prastasis"/>
    <w:link w:val="PoratDiagrama"/>
    <w:rsid w:val="00EE68D3"/>
    <w:pPr>
      <w:tabs>
        <w:tab w:val="right" w:pos="8306"/>
      </w:tabs>
      <w:jc w:val="right"/>
    </w:pPr>
    <w:rPr>
      <w:sz w:val="16"/>
    </w:rPr>
  </w:style>
  <w:style w:type="character" w:customStyle="1" w:styleId="PoratDiagrama">
    <w:name w:val="Poraštė Diagrama"/>
    <w:basedOn w:val="Numatytasispastraiposriftas"/>
    <w:link w:val="Porat"/>
    <w:rsid w:val="00EE68D3"/>
    <w:rPr>
      <w:rFonts w:ascii="Times New Roman" w:eastAsia="Times New Roman" w:hAnsi="Times New Roman" w:cs="Times New Roman"/>
      <w:kern w:val="0"/>
      <w:sz w:val="16"/>
      <w:szCs w:val="24"/>
      <w:lang w:val="lt-LT"/>
      <w14:ligatures w14:val="none"/>
    </w:rPr>
  </w:style>
  <w:style w:type="character" w:styleId="Puslapionumeris">
    <w:name w:val="page number"/>
    <w:basedOn w:val="Numatytasispastraiposriftas"/>
    <w:rsid w:val="00EE68D3"/>
  </w:style>
  <w:style w:type="character" w:styleId="Hipersaitas">
    <w:name w:val="Hyperlink"/>
    <w:rsid w:val="00EE68D3"/>
    <w:rPr>
      <w:color w:val="0000FF"/>
      <w:u w:val="single"/>
    </w:rPr>
  </w:style>
  <w:style w:type="paragraph" w:styleId="Pavadinimas">
    <w:name w:val="Title"/>
    <w:basedOn w:val="prastasis"/>
    <w:link w:val="PavadinimasDiagrama"/>
    <w:qFormat/>
    <w:rsid w:val="00D105B9"/>
    <w:pPr>
      <w:spacing w:before="40" w:after="40"/>
      <w:ind w:right="1959"/>
    </w:pPr>
    <w:rPr>
      <w:caps/>
    </w:rPr>
  </w:style>
  <w:style w:type="character" w:customStyle="1" w:styleId="PavadinimasDiagrama">
    <w:name w:val="Pavadinimas Diagrama"/>
    <w:basedOn w:val="Numatytasispastraiposriftas"/>
    <w:link w:val="Pavadinimas"/>
    <w:rsid w:val="00D105B9"/>
    <w:rPr>
      <w:rFonts w:ascii="Times New Roman" w:eastAsia="Times New Roman" w:hAnsi="Times New Roman" w:cs="Times New Roman"/>
      <w:caps/>
      <w:kern w:val="0"/>
      <w:sz w:val="24"/>
      <w:szCs w:val="24"/>
      <w:lang w:val="lt-LT"/>
      <w14:ligatures w14:val="none"/>
    </w:rPr>
  </w:style>
  <w:style w:type="paragraph" w:customStyle="1" w:styleId="Adresas">
    <w:name w:val="Adresas"/>
    <w:basedOn w:val="prastasis"/>
    <w:rsid w:val="00D105B9"/>
    <w:pPr>
      <w:spacing w:before="40" w:after="40"/>
      <w:ind w:right="316"/>
    </w:pPr>
  </w:style>
  <w:style w:type="paragraph" w:customStyle="1" w:styleId="Tekstas">
    <w:name w:val="Tekstas"/>
    <w:basedOn w:val="prastasis"/>
    <w:link w:val="TekstasDiagrama"/>
    <w:rsid w:val="00D105B9"/>
    <w:pPr>
      <w:spacing w:before="40" w:after="40"/>
      <w:ind w:right="40" w:firstLine="1247"/>
      <w:jc w:val="both"/>
    </w:pPr>
    <w:rPr>
      <w:lang w:val="x-none"/>
    </w:rPr>
  </w:style>
  <w:style w:type="character" w:customStyle="1" w:styleId="TekstasDiagrama">
    <w:name w:val="Tekstas Diagrama"/>
    <w:link w:val="Tekstas"/>
    <w:rsid w:val="00D105B9"/>
    <w:rPr>
      <w:rFonts w:ascii="Times New Roman" w:eastAsia="Times New Roman" w:hAnsi="Times New Roman" w:cs="Times New Roman"/>
      <w:kern w:val="0"/>
      <w:sz w:val="24"/>
      <w:szCs w:val="24"/>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lga.baltrene@teismai.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1369</Words>
  <Characters>7806</Characters>
  <Application>Microsoft Office Word</Application>
  <DocSecurity>0</DocSecurity>
  <Lines>65</Lines>
  <Paragraphs>18</Paragraphs>
  <ScaleCrop>false</ScaleCrop>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Kalvaitienė</dc:creator>
  <cp:keywords/>
  <dc:description/>
  <cp:lastModifiedBy>Olga Baltrėnė</cp:lastModifiedBy>
  <cp:revision>4</cp:revision>
  <dcterms:created xsi:type="dcterms:W3CDTF">2024-04-15T07:10:00Z</dcterms:created>
  <dcterms:modified xsi:type="dcterms:W3CDTF">2024-10-01T13:35:00Z</dcterms:modified>
</cp:coreProperties>
</file>